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D2FF" w14:textId="77777777" w:rsidR="009B10D2" w:rsidRPr="00E706DB" w:rsidRDefault="009B10D2">
      <w:pPr>
        <w:spacing w:before="240" w:after="0" w:line="80" w:lineRule="exact"/>
        <w:jc w:val="both"/>
      </w:pPr>
      <w:r w:rsidRPr="00E706DB">
        <w:t>Le 15 juillet 2023</w:t>
      </w:r>
    </w:p>
    <w:p w14:paraId="4F265036" w14:textId="77777777" w:rsidR="009B10D2" w:rsidRPr="00E706DB" w:rsidRDefault="009B10D2">
      <w:pPr>
        <w:spacing w:before="240" w:after="0" w:line="80" w:lineRule="exact"/>
        <w:jc w:val="both"/>
      </w:pPr>
    </w:p>
    <w:p w14:paraId="0BDFFDB7" w14:textId="77777777" w:rsidR="009B10D2" w:rsidRPr="00E706DB" w:rsidRDefault="009B10D2">
      <w:pPr>
        <w:spacing w:before="240" w:after="0" w:line="200" w:lineRule="exact"/>
        <w:jc w:val="both"/>
      </w:pPr>
      <w:r w:rsidRPr="00E706DB">
        <w:rPr>
          <w:lang w:val="fr-CA"/>
        </w:rPr>
        <w:t>L’Honorable Dennis King, M.A.L.</w:t>
      </w:r>
    </w:p>
    <w:p w14:paraId="2B14FDA5" w14:textId="77777777" w:rsidR="009B10D2" w:rsidRPr="00E706DB" w:rsidRDefault="009B10D2">
      <w:pPr>
        <w:spacing w:before="240" w:after="0" w:line="200" w:lineRule="exact"/>
        <w:jc w:val="both"/>
      </w:pPr>
      <w:r w:rsidRPr="00E706DB">
        <w:t>Premier ministre de l'Île-du-Prince-Édouard</w:t>
      </w:r>
    </w:p>
    <w:p w14:paraId="5F536434" w14:textId="77777777" w:rsidR="009B10D2" w:rsidRPr="00E706DB" w:rsidRDefault="009B10D2">
      <w:pPr>
        <w:spacing w:before="240" w:after="0" w:line="200" w:lineRule="exact"/>
        <w:jc w:val="both"/>
      </w:pPr>
      <w:r w:rsidRPr="00E706DB">
        <w:t>Cabinet du Premier ministre</w:t>
      </w:r>
    </w:p>
    <w:p w14:paraId="1D3800C0" w14:textId="77777777" w:rsidR="009B10D2" w:rsidRPr="00E706DB" w:rsidRDefault="009B10D2">
      <w:pPr>
        <w:spacing w:before="240" w:after="0" w:line="200" w:lineRule="exact"/>
        <w:jc w:val="both"/>
      </w:pPr>
      <w:r w:rsidRPr="00E706DB">
        <w:t>Immeuble Shaw, 5e étage (sud)</w:t>
      </w:r>
    </w:p>
    <w:p w14:paraId="088181C5" w14:textId="77777777" w:rsidR="009B10D2" w:rsidRPr="00E706DB" w:rsidRDefault="009B10D2">
      <w:pPr>
        <w:spacing w:before="240" w:after="0" w:line="200" w:lineRule="exact"/>
        <w:jc w:val="both"/>
        <w:rPr>
          <w:lang w:val="en-CA"/>
        </w:rPr>
      </w:pPr>
      <w:r w:rsidRPr="00E706DB">
        <w:rPr>
          <w:lang w:val="en-CA"/>
        </w:rPr>
        <w:t>95, rue Rochford</w:t>
      </w:r>
    </w:p>
    <w:p w14:paraId="6B5C28FF" w14:textId="77777777" w:rsidR="009B10D2" w:rsidRPr="00E706DB" w:rsidRDefault="009B10D2">
      <w:pPr>
        <w:spacing w:before="240" w:after="0" w:line="200" w:lineRule="exact"/>
        <w:jc w:val="both"/>
        <w:rPr>
          <w:lang w:val="en-CA"/>
        </w:rPr>
      </w:pPr>
      <w:r w:rsidRPr="00E706DB">
        <w:rPr>
          <w:lang w:val="en-CA"/>
        </w:rPr>
        <w:t>C.P. 2000</w:t>
      </w:r>
    </w:p>
    <w:p w14:paraId="499DB4F3" w14:textId="77777777" w:rsidR="009B10D2" w:rsidRPr="00E706DB" w:rsidRDefault="009B10D2">
      <w:pPr>
        <w:spacing w:before="240" w:after="0" w:line="200" w:lineRule="exact"/>
        <w:jc w:val="both"/>
      </w:pPr>
      <w:r w:rsidRPr="00E706DB">
        <w:rPr>
          <w:lang w:val="en-CA"/>
        </w:rPr>
        <w:t xml:space="preserve">Charlottetown (Î.-P.-É.) </w:t>
      </w:r>
      <w:r w:rsidRPr="00E706DB">
        <w:t>C1A 7N8</w:t>
      </w:r>
    </w:p>
    <w:p w14:paraId="4233A0EC" w14:textId="77777777" w:rsidR="009B10D2" w:rsidRPr="00E706DB" w:rsidRDefault="009B10D2">
      <w:pPr>
        <w:spacing w:before="240" w:line="200" w:lineRule="exact"/>
        <w:jc w:val="both"/>
      </w:pPr>
      <w:r w:rsidRPr="00E706DB">
        <w:t xml:space="preserve">Courriel : </w:t>
      </w:r>
      <w:hyperlink r:id="rId7" w:history="1">
        <w:r w:rsidRPr="00E706DB">
          <w:rPr>
            <w:rStyle w:val="Lienhypertexte"/>
          </w:rPr>
          <w:t>premier@gov.pe.ca</w:t>
        </w:r>
      </w:hyperlink>
    </w:p>
    <w:p w14:paraId="51B164FC" w14:textId="77777777" w:rsidR="009B10D2" w:rsidRPr="00E706DB" w:rsidRDefault="009B10D2">
      <w:pPr>
        <w:spacing w:before="240" w:after="0" w:line="80" w:lineRule="exact"/>
        <w:jc w:val="both"/>
      </w:pPr>
    </w:p>
    <w:p w14:paraId="1D7BFCED" w14:textId="77777777" w:rsidR="009B10D2" w:rsidRPr="00E706DB" w:rsidRDefault="009B10D2">
      <w:pPr>
        <w:spacing w:before="240" w:after="0" w:line="80" w:lineRule="exact"/>
        <w:jc w:val="both"/>
      </w:pPr>
    </w:p>
    <w:p w14:paraId="38A2E0B9" w14:textId="77777777" w:rsidR="009B10D2" w:rsidRPr="00E706DB" w:rsidRDefault="009B10D2">
      <w:pPr>
        <w:spacing w:before="240" w:line="80" w:lineRule="exact"/>
        <w:jc w:val="both"/>
      </w:pPr>
      <w:bookmarkStart w:id="0" w:name="_Hlk140277871"/>
      <w:r w:rsidRPr="00E706DB">
        <w:t>Monsieur le Premier Ministre,</w:t>
      </w:r>
    </w:p>
    <w:p w14:paraId="5B93DDC4" w14:textId="77777777" w:rsidR="009B10D2" w:rsidRPr="00E706DB" w:rsidRDefault="009B10D2">
      <w:pPr>
        <w:spacing w:before="240" w:line="100" w:lineRule="atLeast"/>
        <w:jc w:val="both"/>
      </w:pPr>
      <w:r w:rsidRPr="00E706DB">
        <w:t>À la suite d’informations reçues de l’ACAT Canada, j’aimerais vous faire part de ma préoccupation quant au fait que votre province est l’une des deux dernières à ne pas s’être prononcée quant à sa ferme intention de plus détenir des personnes migrantes dans ses établissements correctionnels.</w:t>
      </w:r>
    </w:p>
    <w:p w14:paraId="52AF89C2" w14:textId="1B995C25" w:rsidR="009B10D2" w:rsidRPr="00E706DB" w:rsidRDefault="009B10D2">
      <w:pPr>
        <w:spacing w:before="240" w:line="100" w:lineRule="atLeast"/>
        <w:jc w:val="both"/>
      </w:pPr>
      <w:r w:rsidRPr="00E706DB">
        <w:t>À ce jour, huit provinces ont décidé de mettre fin à leurs accords de détention de migrants avec l’Agence des services frontaliers du Canada (ASFC). Votre province n'ayant pas conclu de tels protocoles d’entente avec l’ASFC, je vous écris</w:t>
      </w:r>
      <w:r w:rsidR="001F1FA3">
        <w:t xml:space="preserve"> tout de même</w:t>
      </w:r>
      <w:r w:rsidRPr="00E706DB">
        <w:t xml:space="preserve"> afin d’exhorter votre gouvernement à ne plus accepter au sein de vos établissements correctionnels</w:t>
      </w:r>
      <w:r w:rsidR="00E706DB">
        <w:t xml:space="preserve"> </w:t>
      </w:r>
      <w:r w:rsidRPr="00E706DB">
        <w:t>des migrants détenus pour des raisons administratives par l’AFSC</w:t>
      </w:r>
      <w:r w:rsidR="00A45C5B" w:rsidRPr="00E706DB">
        <w:t>, et ce, même au cas par cas</w:t>
      </w:r>
      <w:r w:rsidRPr="00E706DB">
        <w:t xml:space="preserve">. En effet, si la détention d’individus en vertu de la </w:t>
      </w:r>
      <w:r w:rsidRPr="00E706DB">
        <w:rPr>
          <w:i/>
          <w:iCs/>
        </w:rPr>
        <w:t>Loi sur l’immigration et la protection des réfugiés</w:t>
      </w:r>
      <w:r w:rsidRPr="00E706DB">
        <w:t xml:space="preserve"> </w:t>
      </w:r>
      <w:r w:rsidR="005413B8" w:rsidRPr="00E706DB">
        <w:t>(</w:t>
      </w:r>
      <w:r w:rsidRPr="00E706DB">
        <w:t>LIPR</w:t>
      </w:r>
      <w:r w:rsidR="005413B8" w:rsidRPr="00E706DB">
        <w:t>)</w:t>
      </w:r>
      <w:r w:rsidRPr="00E706DB">
        <w:t xml:space="preserve">, relève exclusivement de la compétence fédérale, il n’en est pas de même des conditions de détention auxquelles sont soumis les migrants emprisonnés, puisqu’elles sont du ressort des provinces. </w:t>
      </w:r>
      <w:r w:rsidR="00A45C5B" w:rsidRPr="00E706DB">
        <w:t xml:space="preserve">En outre, en vertu du droit international, les migrants détenus ne devraient pas être incarcérés avec les prisonniers de droit commun. </w:t>
      </w:r>
      <w:r w:rsidRPr="00E706DB">
        <w:t xml:space="preserve">Or, depuis 2000, au moins dix-sept (17) migrants détenus dans le cadre des ententes avec l’ASFC sont décédés pendant leur incarcération, la plupart d’entre eux dans des prisons provinciales. Il s’agit de situations qui mettent en jeu la responsabilité des autorités provinciales quant aux conditions d’emprisonnement en vigueur au moment des décès et notamment par rapport à la </w:t>
      </w:r>
      <w:r w:rsidRPr="00E706DB">
        <w:rPr>
          <w:i/>
          <w:iCs/>
        </w:rPr>
        <w:t>Charte canadienne des droits et libertés</w:t>
      </w:r>
      <w:r w:rsidR="00E706DB" w:rsidRPr="00E706DB">
        <w:t>.</w:t>
      </w:r>
    </w:p>
    <w:p w14:paraId="3344C459" w14:textId="053BCD61" w:rsidR="009B10D2" w:rsidRPr="00E706DB" w:rsidRDefault="009B10D2">
      <w:pPr>
        <w:spacing w:before="240" w:line="100" w:lineRule="atLeast"/>
        <w:jc w:val="both"/>
      </w:pPr>
      <w:r w:rsidRPr="00E706DB">
        <w:t xml:space="preserve">Je vous </w:t>
      </w:r>
      <w:r w:rsidR="00EE7D02">
        <w:t>encourage</w:t>
      </w:r>
      <w:r w:rsidRPr="00E706DB">
        <w:t xml:space="preserve"> donc, Monsieur le Premier Ministre, à emboîter le pas aux huit autres provinces canadiennes et à ne plus accepter, même au cas par cas, les demandes d’incarcération ou de transfert de personnes détenues qui vous seront soumises par l’ASFC. En effet, les personnes en quête de lendemains meilleurs devraient être traitées avec tous les égards dus à leur dignité intrinsèque d’êtres humains.</w:t>
      </w:r>
      <w:r w:rsidR="001064D8" w:rsidRPr="001064D8">
        <w:t xml:space="preserve"> </w:t>
      </w:r>
      <w:r w:rsidR="00E706DB" w:rsidRPr="00E706DB">
        <w:t>Un seul migrant détenu dans une prison provinciale canadienne</w:t>
      </w:r>
      <w:r w:rsidR="001064D8">
        <w:t>,</w:t>
      </w:r>
      <w:r w:rsidR="00E706DB" w:rsidRPr="00E706DB">
        <w:t xml:space="preserve"> dans le cadre d’un contrôle à des fins d’immigration</w:t>
      </w:r>
      <w:r w:rsidR="001064D8">
        <w:t>,</w:t>
      </w:r>
      <w:r w:rsidR="00E706DB" w:rsidRPr="00E706DB">
        <w:t xml:space="preserve"> est de trop.</w:t>
      </w:r>
    </w:p>
    <w:p w14:paraId="702D613F" w14:textId="77777777" w:rsidR="009B10D2" w:rsidRPr="00E706DB" w:rsidRDefault="009B10D2">
      <w:pPr>
        <w:spacing w:line="100" w:lineRule="atLeast"/>
        <w:jc w:val="both"/>
      </w:pPr>
      <w:r w:rsidRPr="00E706DB">
        <w:t>Je vous prie d’agréer, Monsieur le Premier Ministre, l’expression de ma haute considération.</w:t>
      </w:r>
    </w:p>
    <w:bookmarkEnd w:id="0"/>
    <w:p w14:paraId="17F8A2B4" w14:textId="77777777" w:rsidR="009B10D2" w:rsidRPr="00E706DB" w:rsidRDefault="009B10D2">
      <w:pPr>
        <w:spacing w:line="100" w:lineRule="atLeast"/>
        <w:jc w:val="both"/>
      </w:pPr>
    </w:p>
    <w:p w14:paraId="38868DC3" w14:textId="77777777" w:rsidR="009B10D2" w:rsidRPr="00E706DB" w:rsidRDefault="009B10D2">
      <w:pPr>
        <w:spacing w:line="100" w:lineRule="atLeast"/>
        <w:jc w:val="both"/>
      </w:pPr>
    </w:p>
    <w:p w14:paraId="1CF9386D" w14:textId="4930C3A7" w:rsidR="009B10D2" w:rsidRPr="00E706DB" w:rsidRDefault="009B10D2">
      <w:pPr>
        <w:spacing w:line="100" w:lineRule="atLeast"/>
        <w:jc w:val="both"/>
      </w:pPr>
      <w:r w:rsidRPr="00E706DB">
        <w:t>Nom :_________________________________________________________________________</w:t>
      </w:r>
      <w:r w:rsidR="00E706DB">
        <w:t>____________________</w:t>
      </w:r>
    </w:p>
    <w:p w14:paraId="1FF6651F" w14:textId="3F6308AA" w:rsidR="009B10D2" w:rsidRPr="00E706DB" w:rsidRDefault="009B10D2">
      <w:pPr>
        <w:spacing w:line="280" w:lineRule="exact"/>
        <w:jc w:val="both"/>
      </w:pPr>
      <w:r w:rsidRPr="00E706DB">
        <w:t>Adresse :______________________________________________________________________</w:t>
      </w:r>
      <w:r w:rsidR="00E706DB">
        <w:t>_____________________</w:t>
      </w:r>
    </w:p>
    <w:p w14:paraId="4A922097" w14:textId="11961540" w:rsidR="009B10D2" w:rsidRPr="00E706DB" w:rsidRDefault="009B10D2">
      <w:pPr>
        <w:spacing w:line="280" w:lineRule="exact"/>
        <w:jc w:val="both"/>
        <w:rPr>
          <w:u w:val="single"/>
        </w:rPr>
      </w:pPr>
      <w:r w:rsidRPr="00E706DB">
        <w:t>______________________________________________________________________________</w:t>
      </w:r>
      <w:r w:rsidR="00E706DB">
        <w:t>____________________</w:t>
      </w:r>
    </w:p>
    <w:p w14:paraId="62F921E3" w14:textId="5C95F945" w:rsidR="009B10D2" w:rsidRPr="00E706DB" w:rsidRDefault="00E706DB">
      <w:pPr>
        <w:spacing w:line="100" w:lineRule="atLeast"/>
        <w:jc w:val="both"/>
        <w:rPr>
          <w:u w:val="single"/>
        </w:rPr>
      </w:pPr>
      <w:r>
        <w:rPr>
          <w:u w:val="single"/>
        </w:rPr>
        <w:br w:type="page"/>
      </w:r>
    </w:p>
    <w:p w14:paraId="0A95E3ED" w14:textId="77777777" w:rsidR="009B10D2" w:rsidRPr="00E706DB" w:rsidRDefault="009B10D2">
      <w:pPr>
        <w:spacing w:before="240" w:line="200" w:lineRule="exact"/>
        <w:jc w:val="both"/>
        <w:rPr>
          <w:lang w:val="fr-CA"/>
        </w:rPr>
      </w:pPr>
      <w:r w:rsidRPr="00E706DB">
        <w:rPr>
          <w:u w:val="single"/>
        </w:rPr>
        <w:t>Copie conforme envoyée à :</w:t>
      </w:r>
    </w:p>
    <w:p w14:paraId="3355A223" w14:textId="77777777" w:rsidR="009B10D2" w:rsidRPr="00E706DB" w:rsidRDefault="009B10D2">
      <w:pPr>
        <w:spacing w:before="240" w:after="0" w:line="200" w:lineRule="exact"/>
        <w:jc w:val="both"/>
        <w:rPr>
          <w:lang w:val="fr-CA"/>
        </w:rPr>
      </w:pPr>
      <w:r w:rsidRPr="00E706DB">
        <w:rPr>
          <w:lang w:val="fr-CA"/>
        </w:rPr>
        <w:t>L’honorable Bloyce Thompson, M.A.L.</w:t>
      </w:r>
    </w:p>
    <w:p w14:paraId="7739E48A" w14:textId="77777777" w:rsidR="009B10D2" w:rsidRPr="00E706DB" w:rsidRDefault="009B10D2">
      <w:pPr>
        <w:spacing w:before="240" w:after="0" w:line="200" w:lineRule="exact"/>
        <w:jc w:val="both"/>
        <w:rPr>
          <w:lang w:val="fr-CA"/>
        </w:rPr>
      </w:pPr>
      <w:r w:rsidRPr="00E706DB">
        <w:rPr>
          <w:lang w:val="fr-CA"/>
        </w:rPr>
        <w:t>Ministre de la Justice et de la Sécurité publique et Procureur général</w:t>
      </w:r>
    </w:p>
    <w:p w14:paraId="03017B72" w14:textId="77777777" w:rsidR="009B10D2" w:rsidRPr="00E706DB" w:rsidRDefault="009B10D2">
      <w:pPr>
        <w:spacing w:before="240" w:after="0" w:line="200" w:lineRule="exact"/>
        <w:jc w:val="both"/>
        <w:rPr>
          <w:lang w:val="fr-CA"/>
        </w:rPr>
      </w:pPr>
      <w:r w:rsidRPr="00E706DB">
        <w:rPr>
          <w:lang w:val="fr-CA"/>
        </w:rPr>
        <w:t>Immeuble Shaw, 4e étage (sud)</w:t>
      </w:r>
    </w:p>
    <w:p w14:paraId="6AE97AE2" w14:textId="77777777" w:rsidR="009B10D2" w:rsidRPr="00E706DB" w:rsidRDefault="009B10D2">
      <w:pPr>
        <w:spacing w:before="240" w:after="0" w:line="200" w:lineRule="exact"/>
        <w:jc w:val="both"/>
        <w:rPr>
          <w:lang w:val="en-CA"/>
        </w:rPr>
      </w:pPr>
      <w:r w:rsidRPr="00E706DB">
        <w:rPr>
          <w:lang w:val="en-CA"/>
        </w:rPr>
        <w:t>95, rue Rochford</w:t>
      </w:r>
    </w:p>
    <w:p w14:paraId="1A1C3255" w14:textId="77777777" w:rsidR="009B10D2" w:rsidRPr="00E706DB" w:rsidRDefault="009B10D2">
      <w:pPr>
        <w:spacing w:before="240" w:after="0" w:line="200" w:lineRule="exact"/>
        <w:jc w:val="both"/>
        <w:rPr>
          <w:lang w:val="en-CA"/>
        </w:rPr>
      </w:pPr>
      <w:r w:rsidRPr="00E706DB">
        <w:rPr>
          <w:lang w:val="en-CA"/>
        </w:rPr>
        <w:t>C.P. 2000</w:t>
      </w:r>
    </w:p>
    <w:p w14:paraId="46C3A598" w14:textId="77777777" w:rsidR="009B10D2" w:rsidRPr="00E706DB" w:rsidRDefault="009B10D2">
      <w:pPr>
        <w:spacing w:before="240" w:after="0" w:line="200" w:lineRule="exact"/>
        <w:jc w:val="both"/>
        <w:rPr>
          <w:lang w:val="fr-CA"/>
        </w:rPr>
      </w:pPr>
      <w:r w:rsidRPr="00E706DB">
        <w:rPr>
          <w:lang w:val="en-CA"/>
        </w:rPr>
        <w:t xml:space="preserve">Charlottetown (Î.-P.-É.) </w:t>
      </w:r>
      <w:r w:rsidRPr="00E706DB">
        <w:rPr>
          <w:lang w:val="fr-CA"/>
        </w:rPr>
        <w:t>C1A 7N8</w:t>
      </w:r>
    </w:p>
    <w:p w14:paraId="5AB49355" w14:textId="77777777" w:rsidR="009B10D2" w:rsidRPr="00E706DB" w:rsidRDefault="009B10D2">
      <w:pPr>
        <w:spacing w:before="240" w:after="0" w:line="200" w:lineRule="exact"/>
        <w:jc w:val="both"/>
      </w:pPr>
      <w:r w:rsidRPr="00E706DB">
        <w:rPr>
          <w:lang w:val="fr-CA"/>
        </w:rPr>
        <w:t xml:space="preserve">Courriel : </w:t>
      </w:r>
      <w:hyperlink r:id="rId8" w:history="1">
        <w:r w:rsidRPr="00E706DB">
          <w:rPr>
            <w:rStyle w:val="Lienhypertexte"/>
            <w:lang w:val="fr-CA"/>
          </w:rPr>
          <w:t>MinisterJPS@gov.pe.ca</w:t>
        </w:r>
      </w:hyperlink>
    </w:p>
    <w:sectPr w:rsidR="009B10D2" w:rsidRPr="00E706DB" w:rsidSect="00E706DB">
      <w:pgSz w:w="12240" w:h="15840" w:code="1"/>
      <w:pgMar w:top="720" w:right="720" w:bottom="720" w:left="72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FFDD" w14:textId="77777777" w:rsidR="00D063BC" w:rsidRDefault="00D063BC" w:rsidP="005413B8">
      <w:pPr>
        <w:spacing w:after="0" w:line="240" w:lineRule="auto"/>
      </w:pPr>
      <w:r>
        <w:separator/>
      </w:r>
    </w:p>
  </w:endnote>
  <w:endnote w:type="continuationSeparator" w:id="0">
    <w:p w14:paraId="2B99D158" w14:textId="77777777" w:rsidR="00D063BC" w:rsidRDefault="00D063BC" w:rsidP="0054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12">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2530" w14:textId="77777777" w:rsidR="00D063BC" w:rsidRDefault="00D063BC" w:rsidP="005413B8">
      <w:pPr>
        <w:spacing w:after="0" w:line="240" w:lineRule="auto"/>
      </w:pPr>
      <w:r>
        <w:separator/>
      </w:r>
    </w:p>
  </w:footnote>
  <w:footnote w:type="continuationSeparator" w:id="0">
    <w:p w14:paraId="4D1BAF28" w14:textId="77777777" w:rsidR="00D063BC" w:rsidRDefault="00D063BC" w:rsidP="00541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15781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13B8"/>
    <w:rsid w:val="000A75BD"/>
    <w:rsid w:val="000D13B4"/>
    <w:rsid w:val="001064D8"/>
    <w:rsid w:val="001F1FA3"/>
    <w:rsid w:val="00441AB4"/>
    <w:rsid w:val="005413B8"/>
    <w:rsid w:val="006019F4"/>
    <w:rsid w:val="00930F02"/>
    <w:rsid w:val="009B10D2"/>
    <w:rsid w:val="00A45C5B"/>
    <w:rsid w:val="00B64C0B"/>
    <w:rsid w:val="00D063BC"/>
    <w:rsid w:val="00E706DB"/>
    <w:rsid w:val="00EE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476E06"/>
  <w15:chartTrackingRefBased/>
  <w15:docId w15:val="{A6EDEC51-101D-4FE2-96A5-4F599BF2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4D8"/>
    <w:pPr>
      <w:suppressAutoHyphens/>
      <w:spacing w:after="160" w:line="259" w:lineRule="auto"/>
    </w:pPr>
    <w:rPr>
      <w:rFonts w:ascii="Calibri" w:eastAsia="SimSun" w:hAnsi="Calibri" w:cs="font312"/>
      <w:kern w:val="1"/>
      <w:sz w:val="22"/>
      <w:szCs w:val="22"/>
      <w:lang w:val="fr-FR" w:eastAsia="ar-SA"/>
    </w:rPr>
  </w:style>
  <w:style w:type="paragraph" w:styleId="Titre1">
    <w:name w:val="heading 1"/>
    <w:basedOn w:val="Normal"/>
    <w:next w:val="Corpsdetexte"/>
    <w:qFormat/>
    <w:pPr>
      <w:numPr>
        <w:numId w:val="1"/>
      </w:numPr>
      <w:spacing w:before="100" w:after="100" w:line="100" w:lineRule="atLeast"/>
      <w:outlineLvl w:val="0"/>
    </w:pPr>
    <w:rPr>
      <w:rFonts w:ascii="Times New Roman" w:eastAsia="Times New Roman" w:hAnsi="Times New Roman" w:cs="Times New Roman"/>
      <w:b/>
      <w:bCs/>
      <w:sz w:val="48"/>
      <w:szCs w:val="48"/>
    </w:rPr>
  </w:style>
  <w:style w:type="paragraph" w:styleId="Titre2">
    <w:name w:val="heading 2"/>
    <w:basedOn w:val="Normal"/>
    <w:next w:val="Corpsdetexte"/>
    <w:qFormat/>
    <w:pPr>
      <w:keepNext/>
      <w:keepLines/>
      <w:numPr>
        <w:ilvl w:val="1"/>
        <w:numId w:val="1"/>
      </w:numPr>
      <w:spacing w:before="40" w:after="0"/>
      <w:outlineLvl w:val="1"/>
    </w:pPr>
    <w:rPr>
      <w:rFonts w:ascii="Calibri Light" w:hAnsi="Calibri Light"/>
      <w:color w:val="2F5496"/>
      <w:sz w:val="26"/>
      <w:szCs w:val="26"/>
    </w:rPr>
  </w:style>
  <w:style w:type="paragraph" w:styleId="Titre3">
    <w:name w:val="heading 3"/>
    <w:basedOn w:val="Normal"/>
    <w:next w:val="Corpsdetexte"/>
    <w:qFormat/>
    <w:pPr>
      <w:keepNext/>
      <w:keepLines/>
      <w:numPr>
        <w:ilvl w:val="2"/>
        <w:numId w:val="1"/>
      </w:numPr>
      <w:spacing w:before="40" w:after="0"/>
      <w:outlineLvl w:val="2"/>
    </w:pPr>
    <w:rPr>
      <w:rFonts w:ascii="Calibri Light" w:hAnsi="Calibri Light"/>
      <w:color w:val="1F376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erChar">
    <w:name w:val="Footer Char"/>
    <w:basedOn w:val="Policepardfaut"/>
  </w:style>
  <w:style w:type="character" w:styleId="Lienhypertexte">
    <w:name w:val="Hyperlink"/>
    <w:rPr>
      <w:color w:val="0000FF"/>
      <w:u w:val="single"/>
    </w:rPr>
  </w:style>
  <w:style w:type="character" w:customStyle="1" w:styleId="FooterChar1">
    <w:name w:val="Footer Char1"/>
    <w:rPr>
      <w:rFonts w:ascii="Calibri" w:eastAsia="Times New Roman" w:hAnsi="Calibri" w:cs="Times New Roman"/>
      <w:kern w:val="1"/>
      <w:sz w:val="20"/>
      <w:szCs w:val="20"/>
      <w:lang w:val="en-US"/>
    </w:rPr>
  </w:style>
  <w:style w:type="character" w:customStyle="1" w:styleId="Heading1Char">
    <w:name w:val="Heading 1 Char"/>
    <w:rPr>
      <w:rFonts w:ascii="Times New Roman" w:eastAsia="Times New Roman" w:hAnsi="Times New Roman" w:cs="Times New Roman"/>
      <w:b/>
      <w:bCs/>
      <w:kern w:val="1"/>
      <w:sz w:val="48"/>
      <w:szCs w:val="48"/>
    </w:rPr>
  </w:style>
  <w:style w:type="character" w:styleId="Mentionnonrsolue">
    <w:name w:val="Unresolved Mention"/>
    <w:rPr>
      <w:color w:val="605E5C"/>
    </w:rPr>
  </w:style>
  <w:style w:type="character" w:customStyle="1" w:styleId="onomasticon">
    <w:name w:val="onomasticon"/>
    <w:basedOn w:val="Policepardfaut"/>
  </w:style>
  <w:style w:type="character" w:customStyle="1" w:styleId="Marquedecommentaire1">
    <w:name w:val="Marque de commentair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ing3Char">
    <w:name w:val="Heading 3 Char"/>
    <w:rPr>
      <w:rFonts w:ascii="Calibri Light" w:hAnsi="Calibri Light" w:cs="font312"/>
      <w:color w:val="1F3763"/>
      <w:sz w:val="24"/>
      <w:szCs w:val="24"/>
    </w:rPr>
  </w:style>
  <w:style w:type="character" w:styleId="Accentuation">
    <w:name w:val="Emphasis"/>
    <w:qFormat/>
    <w:rPr>
      <w:i/>
      <w:iCs/>
    </w:rPr>
  </w:style>
  <w:style w:type="character" w:styleId="lev">
    <w:name w:val="Strong"/>
    <w:qFormat/>
    <w:rPr>
      <w:b/>
      <w:bCs/>
    </w:rPr>
  </w:style>
  <w:style w:type="character" w:customStyle="1" w:styleId="tooltip-container">
    <w:name w:val="tooltip-container"/>
    <w:basedOn w:val="Policepardfaut"/>
  </w:style>
  <w:style w:type="character" w:customStyle="1" w:styleId="signature-section">
    <w:name w:val="signature-section"/>
    <w:basedOn w:val="Policepardfaut"/>
  </w:style>
  <w:style w:type="character" w:customStyle="1" w:styleId="person-name">
    <w:name w:val="person-name"/>
    <w:basedOn w:val="Policepardfaut"/>
  </w:style>
  <w:style w:type="character" w:customStyle="1" w:styleId="separator">
    <w:name w:val="separator"/>
    <w:basedOn w:val="Policepardfaut"/>
  </w:style>
  <w:style w:type="character" w:customStyle="1" w:styleId="mw-headline">
    <w:name w:val="mw-headline"/>
    <w:basedOn w:val="Policepardfaut"/>
  </w:style>
  <w:style w:type="character" w:customStyle="1" w:styleId="mw-editsection">
    <w:name w:val="mw-editsection"/>
    <w:basedOn w:val="Policepardfaut"/>
  </w:style>
  <w:style w:type="character" w:customStyle="1" w:styleId="mw-editsection-bracket">
    <w:name w:val="mw-editsection-bracket"/>
    <w:basedOn w:val="Policepardfaut"/>
  </w:style>
  <w:style w:type="character" w:customStyle="1" w:styleId="mw-editsection-divider">
    <w:name w:val="mw-editsection-divider"/>
    <w:basedOn w:val="Policepardfaut"/>
  </w:style>
  <w:style w:type="character" w:customStyle="1" w:styleId="Heading2Char">
    <w:name w:val="Heading 2 Char"/>
    <w:rPr>
      <w:rFonts w:ascii="Calibri Light" w:hAnsi="Calibri Light" w:cs="font312"/>
      <w:color w:val="2F5496"/>
      <w:sz w:val="26"/>
      <w:szCs w:val="26"/>
    </w:rPr>
  </w:style>
  <w:style w:type="character" w:customStyle="1" w:styleId="nowrap">
    <w:name w:val="nowrap"/>
    <w:basedOn w:val="Policepardfaut"/>
  </w:style>
  <w:style w:type="character" w:styleId="CitationHTML">
    <w:name w:val="HTML Cite"/>
    <w:rPr>
      <w:i/>
      <w:iCs/>
    </w:rPr>
  </w:style>
  <w:style w:type="character" w:customStyle="1" w:styleId="HeaderChar">
    <w:name w:val="Header Char"/>
    <w:basedOn w:val="Policepardfaut"/>
  </w:style>
  <w:style w:type="character" w:customStyle="1" w:styleId="ListLabel1">
    <w:name w:val="ListLabel 1"/>
    <w:rPr>
      <w:rFonts w:cs="Courier New"/>
    </w:rPr>
  </w:style>
  <w:style w:type="character" w:customStyle="1" w:styleId="ListLabel2">
    <w:name w:val="ListLabel 2"/>
    <w:rPr>
      <w:rFonts w:eastAsia="Times New Roman"/>
    </w:rPr>
  </w:style>
  <w:style w:type="character" w:customStyle="1" w:styleId="ListLabel3">
    <w:name w:val="ListLabel 3"/>
    <w:rPr>
      <w:rFonts w:eastAsia="Calibri" w:cs="Arial"/>
      <w:lang w:val="fr-FR"/>
    </w:rPr>
  </w:style>
  <w:style w:type="character" w:customStyle="1" w:styleId="ListLabel4">
    <w:name w:val="ListLabel 4"/>
    <w:rPr>
      <w:sz w:val="20"/>
    </w:rPr>
  </w:style>
  <w:style w:type="paragraph" w:customStyle="1" w:styleId="Titre10">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Paragraphedeliste">
    <w:name w:val="List Paragraph"/>
    <w:basedOn w:val="Normal"/>
    <w:qFormat/>
    <w:pPr>
      <w:ind w:left="720"/>
    </w:pPr>
  </w:style>
  <w:style w:type="paragraph" w:styleId="Pieddepage">
    <w:name w:val="footer"/>
    <w:basedOn w:val="Normal"/>
    <w:pPr>
      <w:suppressLineNumbers/>
      <w:tabs>
        <w:tab w:val="center" w:pos="4536"/>
        <w:tab w:val="right" w:pos="9072"/>
      </w:tabs>
      <w:spacing w:after="0" w:line="100" w:lineRule="atLeast"/>
      <w:jc w:val="both"/>
    </w:pPr>
    <w:rPr>
      <w:rFonts w:eastAsia="Times New Roman" w:cs="Times New Roman"/>
      <w:sz w:val="20"/>
      <w:szCs w:val="20"/>
      <w:lang w:val="en-US"/>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styleId="Sansinterligne">
    <w:name w:val="No Spacing"/>
    <w:qFormat/>
    <w:pPr>
      <w:suppressAutoHyphens/>
      <w:spacing w:line="100" w:lineRule="atLeast"/>
    </w:pPr>
    <w:rPr>
      <w:rFonts w:ascii="Calibri" w:eastAsia="SimSun" w:hAnsi="Calibri" w:cs="font312"/>
      <w:kern w:val="1"/>
      <w:sz w:val="22"/>
      <w:szCs w:val="22"/>
      <w:lang w:eastAsia="ar-SA"/>
    </w:rPr>
  </w:style>
  <w:style w:type="paragraph" w:customStyle="1" w:styleId="news-headersubtitle">
    <w:name w:val="news-header__subtitle"/>
    <w:basedOn w:val="Normal"/>
    <w:pPr>
      <w:spacing w:before="100" w:after="100" w:line="100" w:lineRule="atLeast"/>
    </w:pPr>
    <w:rPr>
      <w:rFonts w:ascii="Times New Roman" w:eastAsia="Times New Roman" w:hAnsi="Times New Roman" w:cs="Times New Roman"/>
      <w:sz w:val="24"/>
      <w:szCs w:val="24"/>
    </w:rPr>
  </w:style>
  <w:style w:type="paragraph" w:customStyle="1" w:styleId="Commentaire1">
    <w:name w:val="Commentaire1"/>
    <w:basedOn w:val="Normal"/>
    <w:pPr>
      <w:spacing w:line="100" w:lineRule="atLeast"/>
    </w:pPr>
    <w:rPr>
      <w:sz w:val="20"/>
      <w:szCs w:val="20"/>
    </w:rPr>
  </w:style>
  <w:style w:type="paragraph" w:customStyle="1" w:styleId="Objetducommentaire1">
    <w:name w:val="Objet du commentaire1"/>
    <w:basedOn w:val="Commentaire1"/>
    <w:rPr>
      <w:b/>
      <w:bCs/>
    </w:rPr>
  </w:style>
  <w:style w:type="paragraph" w:styleId="En-tte">
    <w:name w:val="header"/>
    <w:basedOn w:val="Normal"/>
    <w:pPr>
      <w:suppressLineNumbers/>
      <w:tabs>
        <w:tab w:val="center" w:pos="4513"/>
        <w:tab w:val="right" w:pos="9026"/>
      </w:tabs>
      <w:spacing w:after="0" w:line="100" w:lineRule="atLeast"/>
    </w:pPr>
  </w:style>
  <w:style w:type="paragraph" w:styleId="Rvision">
    <w:name w:val="Revision"/>
    <w:hidden/>
    <w:uiPriority w:val="99"/>
    <w:semiHidden/>
    <w:rsid w:val="005413B8"/>
    <w:rPr>
      <w:rFonts w:ascii="Calibri" w:eastAsia="SimSun" w:hAnsi="Calibri" w:cs="font312"/>
      <w:kern w:val="1"/>
      <w:sz w:val="22"/>
      <w:szCs w:val="22"/>
      <w:lang w:val="fr-FR" w:eastAsia="ar-SA"/>
    </w:rPr>
  </w:style>
  <w:style w:type="character" w:styleId="Marquedecommentaire">
    <w:name w:val="annotation reference"/>
    <w:uiPriority w:val="99"/>
    <w:semiHidden/>
    <w:unhideWhenUsed/>
    <w:rsid w:val="005413B8"/>
    <w:rPr>
      <w:sz w:val="16"/>
      <w:szCs w:val="16"/>
    </w:rPr>
  </w:style>
  <w:style w:type="paragraph" w:styleId="Commentaire">
    <w:name w:val="annotation text"/>
    <w:basedOn w:val="Normal"/>
    <w:link w:val="CommentaireCar"/>
    <w:uiPriority w:val="99"/>
    <w:unhideWhenUsed/>
    <w:rsid w:val="005413B8"/>
    <w:rPr>
      <w:sz w:val="20"/>
      <w:szCs w:val="20"/>
    </w:rPr>
  </w:style>
  <w:style w:type="character" w:customStyle="1" w:styleId="CommentaireCar">
    <w:name w:val="Commentaire Car"/>
    <w:link w:val="Commentaire"/>
    <w:uiPriority w:val="99"/>
    <w:rsid w:val="005413B8"/>
    <w:rPr>
      <w:rFonts w:ascii="Calibri" w:eastAsia="SimSun" w:hAnsi="Calibri" w:cs="font312"/>
      <w:kern w:val="1"/>
      <w:lang w:val="fr-FR" w:eastAsia="ar-SA"/>
    </w:rPr>
  </w:style>
  <w:style w:type="paragraph" w:styleId="Objetducommentaire">
    <w:name w:val="annotation subject"/>
    <w:basedOn w:val="Commentaire"/>
    <w:next w:val="Commentaire"/>
    <w:link w:val="ObjetducommentaireCar"/>
    <w:uiPriority w:val="99"/>
    <w:semiHidden/>
    <w:unhideWhenUsed/>
    <w:rsid w:val="005413B8"/>
    <w:rPr>
      <w:b/>
      <w:bCs/>
    </w:rPr>
  </w:style>
  <w:style w:type="character" w:customStyle="1" w:styleId="ObjetducommentaireCar">
    <w:name w:val="Objet du commentaire Car"/>
    <w:link w:val="Objetducommentaire"/>
    <w:uiPriority w:val="99"/>
    <w:semiHidden/>
    <w:rsid w:val="005413B8"/>
    <w:rPr>
      <w:rFonts w:ascii="Calibri" w:eastAsia="SimSun" w:hAnsi="Calibri" w:cs="font312"/>
      <w:b/>
      <w:bCs/>
      <w:kern w:val="1"/>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erJPS@gov.pe.ca" TargetMode="External"/><Relationship Id="rId3" Type="http://schemas.openxmlformats.org/officeDocument/2006/relationships/settings" Target="settings.xml"/><Relationship Id="rId7" Type="http://schemas.openxmlformats.org/officeDocument/2006/relationships/hyperlink" Target="mailto:premier@gov.pe.ca?subject=D&#233;tention%20de%20migrants%20dans%20vos%20prisons%20provin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Links>
    <vt:vector size="18" baseType="variant">
      <vt:variant>
        <vt:i4>6029374</vt:i4>
      </vt:variant>
      <vt:variant>
        <vt:i4>6</vt:i4>
      </vt:variant>
      <vt:variant>
        <vt:i4>0</vt:i4>
      </vt:variant>
      <vt:variant>
        <vt:i4>5</vt:i4>
      </vt:variant>
      <vt:variant>
        <vt:lpwstr>mailto:premier@gov.nl.ca</vt:lpwstr>
      </vt:variant>
      <vt:variant>
        <vt:lpwstr/>
      </vt:variant>
      <vt:variant>
        <vt:i4>4194363</vt:i4>
      </vt:variant>
      <vt:variant>
        <vt:i4>3</vt:i4>
      </vt:variant>
      <vt:variant>
        <vt:i4>0</vt:i4>
      </vt:variant>
      <vt:variant>
        <vt:i4>5</vt:i4>
      </vt:variant>
      <vt:variant>
        <vt:lpwstr>mailto:MinisterJPS@gov.pe.ca</vt:lpwstr>
      </vt:variant>
      <vt:variant>
        <vt:lpwstr/>
      </vt:variant>
      <vt:variant>
        <vt:i4>5177511</vt:i4>
      </vt:variant>
      <vt:variant>
        <vt:i4>0</vt:i4>
      </vt:variant>
      <vt:variant>
        <vt:i4>0</vt:i4>
      </vt:variant>
      <vt:variant>
        <vt:i4>5</vt:i4>
      </vt:variant>
      <vt:variant>
        <vt:lpwstr>mailto:premier@gov.pe.ca?subject=Détention%20de%20migrants%20dans%20vos%20prisons%20provinciales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dc:creator>
  <cp:keywords/>
  <cp:lastModifiedBy>ACAT Canada</cp:lastModifiedBy>
  <cp:revision>3</cp:revision>
  <cp:lastPrinted>2023-07-15T06:00:00Z</cp:lastPrinted>
  <dcterms:created xsi:type="dcterms:W3CDTF">2023-07-15T06:02:00Z</dcterms:created>
  <dcterms:modified xsi:type="dcterms:W3CDTF">2023-07-15T21:29:00Z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